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84B06" w:rsidRDefault="002F4997">
      <w:pPr>
        <w:spacing w:before="240" w:line="360" w:lineRule="auto"/>
        <w:ind w:left="567" w:hanging="570"/>
        <w:jc w:val="center"/>
        <w:rPr>
          <w:b/>
          <w:smallCaps/>
          <w:sz w:val="40"/>
          <w:szCs w:val="40"/>
        </w:rPr>
      </w:pPr>
      <w:r>
        <w:rPr>
          <w:b/>
          <w:smallCaps/>
          <w:sz w:val="40"/>
          <w:szCs w:val="40"/>
        </w:rPr>
        <w:t>Supporting Information</w:t>
      </w:r>
    </w:p>
    <w:p w14:paraId="00000002" w14:textId="77777777" w:rsidR="00C84B06" w:rsidRDefault="00C84B06">
      <w:pPr>
        <w:spacing w:before="240" w:line="360" w:lineRule="auto"/>
        <w:ind w:left="567" w:hanging="570"/>
        <w:jc w:val="center"/>
        <w:rPr>
          <w:b/>
          <w:smallCaps/>
          <w:sz w:val="40"/>
          <w:szCs w:val="40"/>
        </w:rPr>
      </w:pPr>
    </w:p>
    <w:p w14:paraId="00000003" w14:textId="77777777" w:rsidR="00C84B06" w:rsidRDefault="00C84B06">
      <w:pPr>
        <w:spacing w:before="240" w:line="360" w:lineRule="auto"/>
        <w:ind w:left="567" w:hanging="570"/>
        <w:jc w:val="center"/>
        <w:rPr>
          <w:b/>
          <w:smallCaps/>
          <w:sz w:val="40"/>
          <w:szCs w:val="40"/>
        </w:rPr>
      </w:pPr>
    </w:p>
    <w:p w14:paraId="00000004" w14:textId="77777777" w:rsidR="00C84B06" w:rsidRDefault="002F4997">
      <w:pPr>
        <w:spacing w:before="240" w:line="360" w:lineRule="auto"/>
        <w:jc w:val="both"/>
        <w:rPr>
          <w:smallCaps/>
          <w:sz w:val="36"/>
          <w:szCs w:val="36"/>
        </w:rPr>
      </w:pPr>
      <w:bookmarkStart w:id="0" w:name="_heading=h.gjdgxs" w:colFirst="0" w:colLast="0"/>
      <w:bookmarkEnd w:id="0"/>
      <w:r>
        <w:rPr>
          <w:b/>
          <w:smallCaps/>
          <w:color w:val="000000"/>
          <w:sz w:val="36"/>
          <w:szCs w:val="36"/>
        </w:rPr>
        <w:t>Method S2. Bayesian Model Description</w:t>
      </w:r>
    </w:p>
    <w:p w14:paraId="00000005" w14:textId="77777777" w:rsidR="00C84B06" w:rsidRDefault="002F4997">
      <w:pPr>
        <w:spacing w:before="240" w:line="360" w:lineRule="auto"/>
        <w:jc w:val="both"/>
      </w:pPr>
      <w:r>
        <w:rPr>
          <w:color w:val="000000"/>
        </w:rPr>
        <w:t> </w:t>
      </w:r>
    </w:p>
    <w:p w14:paraId="38196A07" w14:textId="77777777" w:rsidR="00A92E87" w:rsidRDefault="00A92E87">
      <w:pPr>
        <w:spacing w:before="240" w:line="360" w:lineRule="auto"/>
        <w:jc w:val="both"/>
      </w:pPr>
    </w:p>
    <w:p w14:paraId="00000007" w14:textId="21D0B38B" w:rsidR="00C84B06" w:rsidRDefault="00A92E87">
      <w:pPr>
        <w:spacing w:before="240" w:line="360" w:lineRule="auto"/>
        <w:jc w:val="both"/>
      </w:pPr>
      <w:r>
        <w:t xml:space="preserve">      </w:t>
      </w:r>
      <w:r w:rsidR="002F4997">
        <w:rPr>
          <w:color w:val="000000"/>
        </w:rPr>
        <w:t xml:space="preserve">The </w:t>
      </w:r>
      <w:proofErr w:type="spellStart"/>
      <w:r w:rsidR="002F4997">
        <w:rPr>
          <w:color w:val="000000"/>
        </w:rPr>
        <w:t>OsteoBioR</w:t>
      </w:r>
      <w:proofErr w:type="spellEnd"/>
      <w:r w:rsidR="002F4997">
        <w:rPr>
          <w:color w:val="000000"/>
        </w:rPr>
        <w:t xml:space="preserve"> model considers a matrix with entries representing a remodelling percentage x. Matrix rows represent the selected time intervals (t) and each column (n) an isotopic measurement made on a certain skeletal material. In the case of tooth d</w:t>
      </w:r>
      <w:r w:rsidR="002F4997">
        <w:rPr>
          <w:color w:val="000000"/>
        </w:rPr>
        <w:t>entine sections, we assumed a constant remodelling rate (</w:t>
      </w:r>
      <w:r w:rsidR="002F4997">
        <w:rPr>
          <w:i/>
          <w:color w:val="000000"/>
        </w:rPr>
        <w:t>c.</w:t>
      </w:r>
      <w:r w:rsidR="002F4997">
        <w:rPr>
          <w:color w:val="000000"/>
        </w:rPr>
        <w:t xml:space="preserve"> 6 </w:t>
      </w:r>
      <w:proofErr w:type="spellStart"/>
      <w:r w:rsidR="002F4997">
        <w:rPr>
          <w:color w:val="000000"/>
        </w:rPr>
        <w:t>μm</w:t>
      </w:r>
      <w:proofErr w:type="spellEnd"/>
      <w:r w:rsidR="002F4997">
        <w:rPr>
          <w:color w:val="000000"/>
        </w:rPr>
        <w:t xml:space="preserve">/day for ancient populations, Dean &amp; </w:t>
      </w:r>
      <w:proofErr w:type="spellStart"/>
      <w:r w:rsidR="002F4997">
        <w:rPr>
          <w:color w:val="000000"/>
        </w:rPr>
        <w:t>Scandrett</w:t>
      </w:r>
      <w:proofErr w:type="spellEnd"/>
      <w:r w:rsidR="002F4997">
        <w:rPr>
          <w:color w:val="000000"/>
        </w:rPr>
        <w:t xml:space="preserve"> 1995) and that once dentine is formed no further remodelling is possible. Since the length of a tooth section does not necessarily match univocal</w:t>
      </w:r>
      <w:r w:rsidR="002F4997">
        <w:rPr>
          <w:color w:val="000000"/>
        </w:rPr>
        <w:t>ly a six-month interval each measured section is divided into a number of columns corresponding to the number of six-month intervals that it spans and the entries for the remodelling values x in each column and time row combination correspond to the percen</w:t>
      </w:r>
      <w:r w:rsidR="002F4997">
        <w:rPr>
          <w:color w:val="000000"/>
        </w:rPr>
        <w:t>tage of the tooth section contained within a certain time interval.</w:t>
      </w:r>
    </w:p>
    <w:p w14:paraId="00000008" w14:textId="77777777" w:rsidR="00C84B06" w:rsidRDefault="002F4997">
      <w:pPr>
        <w:spacing w:before="240" w:line="360" w:lineRule="auto"/>
        <w:jc w:val="both"/>
      </w:pPr>
      <w:r>
        <w:rPr>
          <w:color w:val="000000"/>
        </w:rPr>
        <w:t>     To estimate the vector of isotopic values (</w:t>
      </w:r>
      <w:proofErr w:type="spellStart"/>
      <w:r>
        <w:rPr>
          <w:color w:val="000000"/>
        </w:rPr>
        <w:t>i</w:t>
      </w:r>
      <w:proofErr w:type="spellEnd"/>
      <w:r>
        <w:rPr>
          <w:color w:val="000000"/>
        </w:rPr>
        <w:t>) across the t time points we consider that the isotopic measurements made on tooth sections (y) with a certain uncertainty (</w:t>
      </w:r>
      <w:proofErr w:type="spellStart"/>
      <w:r>
        <w:rPr>
          <w:color w:val="000000"/>
        </w:rPr>
        <w:t>σy</w:t>
      </w:r>
      <w:proofErr w:type="spellEnd"/>
      <w:r>
        <w:rPr>
          <w:color w:val="000000"/>
        </w:rPr>
        <w:t>) and repres</w:t>
      </w:r>
      <w:r>
        <w:rPr>
          <w:color w:val="000000"/>
        </w:rPr>
        <w:t>ented across different columns follow: </w:t>
      </w:r>
    </w:p>
    <w:p w14:paraId="00000009" w14:textId="77777777" w:rsidR="00C84B06" w:rsidRDefault="002F4997">
      <w:pPr>
        <w:spacing w:before="240" w:line="360" w:lineRule="auto"/>
        <w:jc w:val="both"/>
      </w:pPr>
      <w:r>
        <w:rPr>
          <w:color w:val="000000"/>
        </w:rPr>
        <w:t xml:space="preserve">y ~ </w:t>
      </w:r>
      <w:proofErr w:type="gramStart"/>
      <w:r>
        <w:rPr>
          <w:color w:val="000000"/>
        </w:rPr>
        <w:t>N(</w:t>
      </w:r>
      <w:proofErr w:type="gramEnd"/>
      <w:r>
        <w:rPr>
          <w:color w:val="000000"/>
        </w:rPr>
        <w:t xml:space="preserve">x * </w:t>
      </w:r>
      <w:proofErr w:type="spellStart"/>
      <w:r>
        <w:rPr>
          <w:color w:val="000000"/>
        </w:rPr>
        <w:t>i</w:t>
      </w:r>
      <w:proofErr w:type="spellEnd"/>
      <w:r>
        <w:rPr>
          <w:color w:val="000000"/>
        </w:rPr>
        <w:t xml:space="preserve">, </w:t>
      </w:r>
      <w:proofErr w:type="spellStart"/>
      <w:r>
        <w:rPr>
          <w:color w:val="000000"/>
        </w:rPr>
        <w:t>σ</w:t>
      </w:r>
      <w:r>
        <w:rPr>
          <w:color w:val="000000"/>
          <w:vertAlign w:val="subscript"/>
        </w:rPr>
        <w:t>y</w:t>
      </w:r>
      <w:proofErr w:type="spellEnd"/>
      <w:r>
        <w:rPr>
          <w:color w:val="000000"/>
        </w:rPr>
        <w:t>)</w:t>
      </w:r>
    </w:p>
    <w:p w14:paraId="0000000A" w14:textId="77777777" w:rsidR="00C84B06" w:rsidRDefault="002F4997">
      <w:pPr>
        <w:spacing w:before="240" w:line="360" w:lineRule="auto"/>
        <w:jc w:val="both"/>
      </w:pPr>
      <w:r>
        <w:rPr>
          <w:color w:val="000000"/>
        </w:rPr>
        <w:t>with</w:t>
      </w:r>
    </w:p>
    <w:p w14:paraId="0000000B" w14:textId="77777777" w:rsidR="00C84B06" w:rsidRDefault="002F4997">
      <w:pPr>
        <w:spacing w:before="240" w:line="360" w:lineRule="auto"/>
        <w:jc w:val="both"/>
      </w:pPr>
      <w:proofErr w:type="spellStart"/>
      <w:r>
        <w:rPr>
          <w:color w:val="000000"/>
        </w:rPr>
        <w:t>i</w:t>
      </w:r>
      <w:proofErr w:type="spellEnd"/>
      <w:r>
        <w:rPr>
          <w:color w:val="000000"/>
        </w:rPr>
        <w:t xml:space="preserve"> ~ </w:t>
      </w:r>
      <w:proofErr w:type="gramStart"/>
      <w:r>
        <w:rPr>
          <w:color w:val="000000"/>
        </w:rPr>
        <w:t>N(</w:t>
      </w:r>
      <w:proofErr w:type="gramEnd"/>
      <w:r>
        <w:rPr>
          <w:color w:val="000000"/>
        </w:rPr>
        <w:t xml:space="preserve">μ, K(α, ρ)) as a Gaussian process with covariance matrix K following the </w:t>
      </w:r>
      <w:proofErr w:type="spellStart"/>
      <w:r>
        <w:rPr>
          <w:color w:val="000000"/>
        </w:rPr>
        <w:t>exponentiated</w:t>
      </w:r>
      <w:proofErr w:type="spellEnd"/>
      <w:r>
        <w:rPr>
          <w:color w:val="000000"/>
        </w:rPr>
        <w:t xml:space="preserve"> quadratic covariance function k(t, t') = </w:t>
      </w:r>
      <w:proofErr w:type="spellStart"/>
      <w:r>
        <w:rPr>
          <w:color w:val="000000"/>
        </w:rPr>
        <w:t>Cov</w:t>
      </w:r>
      <w:proofErr w:type="spellEnd"/>
      <w:r>
        <w:rPr>
          <w:color w:val="000000"/>
        </w:rPr>
        <w:t>(i</w:t>
      </w:r>
      <w:r>
        <w:rPr>
          <w:color w:val="000000"/>
          <w:vertAlign w:val="subscript"/>
        </w:rPr>
        <w:t>t</w:t>
      </w:r>
      <w:r>
        <w:rPr>
          <w:color w:val="000000"/>
        </w:rPr>
        <w:t>, i</w:t>
      </w:r>
      <w:r>
        <w:rPr>
          <w:color w:val="000000"/>
          <w:vertAlign w:val="subscript"/>
        </w:rPr>
        <w:t>t'</w:t>
      </w:r>
      <w:r>
        <w:rPr>
          <w:color w:val="000000"/>
        </w:rPr>
        <w:t xml:space="preserve">) = α^2 * </w:t>
      </w:r>
      <w:proofErr w:type="spellStart"/>
      <w:r>
        <w:rPr>
          <w:color w:val="000000"/>
        </w:rPr>
        <w:t>exp</w:t>
      </w:r>
      <w:proofErr w:type="spellEnd"/>
      <w:r>
        <w:rPr>
          <w:color w:val="000000"/>
        </w:rPr>
        <w:t>(1 / (-2 ρ^2) * ( i</w:t>
      </w:r>
      <w:r>
        <w:rPr>
          <w:color w:val="000000"/>
          <w:vertAlign w:val="subscript"/>
        </w:rPr>
        <w:t>t</w:t>
      </w:r>
      <w:r>
        <w:rPr>
          <w:color w:val="000000"/>
        </w:rPr>
        <w:t xml:space="preserve"> -  i</w:t>
      </w:r>
      <w:r>
        <w:rPr>
          <w:color w:val="000000"/>
          <w:vertAlign w:val="subscript"/>
        </w:rPr>
        <w:t>t'</w:t>
      </w:r>
      <w:r>
        <w:rPr>
          <w:color w:val="000000"/>
        </w:rPr>
        <w:t>)^2)</w:t>
      </w:r>
    </w:p>
    <w:p w14:paraId="0000000C" w14:textId="77777777" w:rsidR="00C84B06" w:rsidRDefault="002F4997">
      <w:pPr>
        <w:spacing w:before="240" w:line="360" w:lineRule="auto"/>
        <w:jc w:val="both"/>
      </w:pPr>
      <w:r>
        <w:rPr>
          <w:color w:val="000000"/>
        </w:rPr>
        <w:t>    </w:t>
      </w:r>
      <w:r>
        <w:rPr>
          <w:color w:val="000000"/>
        </w:rPr>
        <w:t xml:space="preserve">  The following prior distributions were specified: μ ~ </w:t>
      </w:r>
      <w:proofErr w:type="gramStart"/>
      <w:r>
        <w:rPr>
          <w:color w:val="000000"/>
        </w:rPr>
        <w:t>t(</w:t>
      </w:r>
      <w:proofErr w:type="gramEnd"/>
      <w:r>
        <w:rPr>
          <w:color w:val="000000"/>
        </w:rPr>
        <w:t xml:space="preserve">0, 10, </w:t>
      </w:r>
      <w:proofErr w:type="spellStart"/>
      <w:r>
        <w:rPr>
          <w:color w:val="000000"/>
        </w:rPr>
        <w:t>df</w:t>
      </w:r>
      <w:proofErr w:type="spellEnd"/>
      <w:r>
        <w:rPr>
          <w:color w:val="000000"/>
        </w:rPr>
        <w:t xml:space="preserve"> = 1); ρ ~ N(1, 0.25); α ~ N(2, 0.5). Computation was done using Hamiltonian Monte Carlo (HMC, Carpenter </w:t>
      </w:r>
      <w:r>
        <w:rPr>
          <w:i/>
          <w:color w:val="000000"/>
        </w:rPr>
        <w:t>et al.</w:t>
      </w:r>
      <w:r>
        <w:rPr>
          <w:color w:val="000000"/>
        </w:rPr>
        <w:t xml:space="preserve"> 2017), a Markov chain Monte Carlo algorithm, to draw observations from the po</w:t>
      </w:r>
      <w:r>
        <w:rPr>
          <w:color w:val="000000"/>
        </w:rPr>
        <w:t xml:space="preserve">steriors. This was done using (R)Stan </w:t>
      </w:r>
      <w:r>
        <w:rPr>
          <w:color w:val="000000"/>
        </w:rPr>
        <w:lastRenderedPageBreak/>
        <w:t>(Stan Development Team 2018) within R (Development Core Team 2020) Absolute time shifts in isotopic values larger than a user defined percentage were automatically detected.</w:t>
      </w:r>
    </w:p>
    <w:p w14:paraId="00000016" w14:textId="1AA1DDBF" w:rsidR="00C84B06" w:rsidRDefault="002F4997">
      <w:pPr>
        <w:spacing w:before="240" w:line="360" w:lineRule="auto"/>
        <w:jc w:val="both"/>
      </w:pPr>
      <w:r>
        <w:t xml:space="preserve">      The Bayesian approach allows us to pro</w:t>
      </w:r>
      <w:r>
        <w:t>vide results on a common temporal scale which is independent of intra- and inter-individual differences. This issue arises since the tooth sections did not always have the same exact length. Furthermore, in some cases the amount of collagen from a single s</w:t>
      </w:r>
      <w:r>
        <w:t>egment was insufficient for measurement, a common occurrence in this type of work. For these we combined for measurement multiple increments. This is described in sections’ text labels by concatenating the letter codes corresponding to single increments (e</w:t>
      </w:r>
      <w:r>
        <w:t>.g. BN124-M1-A+B). In raw plots, combined measurements refer to extended time periods. By using the Bayesian model we generate estimates for shorter temporal resolutions and with an uncertainty larger than analytical uncertainty. It should also be noted th</w:t>
      </w:r>
      <w:r>
        <w:t>at there is also uncertainty when matching isotopic measurements for each section to a specific lifetime period of an individual. Under the Bayesian modelling approach estimates are generated for time intervals within the lifetime of an individual rather t</w:t>
      </w:r>
      <w:r>
        <w:t xml:space="preserve">han to a specific time point. This is pertinent as the sections have a thickness and so represent a temporal average of c. 6 months. Furthermore, this issue is compounded when multiple sections are combined. </w:t>
      </w:r>
    </w:p>
    <w:p w14:paraId="3AB25578" w14:textId="6BFE398A" w:rsidR="00A92E87" w:rsidRDefault="00A92E87">
      <w:pPr>
        <w:spacing w:before="240" w:line="360" w:lineRule="auto"/>
        <w:jc w:val="both"/>
      </w:pPr>
    </w:p>
    <w:p w14:paraId="12F24F1C" w14:textId="77777777" w:rsidR="00A92E87" w:rsidRDefault="00A92E87">
      <w:pPr>
        <w:spacing w:before="240" w:line="360" w:lineRule="auto"/>
        <w:jc w:val="both"/>
      </w:pPr>
    </w:p>
    <w:p w14:paraId="00000017" w14:textId="77777777" w:rsidR="00C84B06" w:rsidRDefault="00C84B06">
      <w:pPr>
        <w:spacing w:before="240" w:line="360" w:lineRule="auto"/>
        <w:jc w:val="both"/>
      </w:pPr>
    </w:p>
    <w:p w14:paraId="00000018" w14:textId="77777777" w:rsidR="00C84B06" w:rsidRDefault="00C84B06">
      <w:pPr>
        <w:spacing w:before="240" w:line="360" w:lineRule="auto"/>
        <w:jc w:val="both"/>
      </w:pPr>
    </w:p>
    <w:p w14:paraId="00000019" w14:textId="77777777" w:rsidR="00C84B06" w:rsidRDefault="002F4997">
      <w:pPr>
        <w:spacing w:before="240" w:line="360" w:lineRule="auto"/>
        <w:jc w:val="both"/>
        <w:rPr>
          <w:smallCaps/>
          <w:sz w:val="36"/>
          <w:szCs w:val="36"/>
        </w:rPr>
      </w:pPr>
      <w:r>
        <w:rPr>
          <w:b/>
          <w:smallCaps/>
          <w:color w:val="000000"/>
          <w:sz w:val="36"/>
          <w:szCs w:val="36"/>
        </w:rPr>
        <w:t>References</w:t>
      </w:r>
    </w:p>
    <w:p w14:paraId="0000001A" w14:textId="77777777" w:rsidR="00C84B06" w:rsidRDefault="00C84B06">
      <w:pPr>
        <w:spacing w:before="240" w:line="360" w:lineRule="auto"/>
        <w:jc w:val="both"/>
      </w:pPr>
    </w:p>
    <w:p w14:paraId="0000001B" w14:textId="77777777" w:rsidR="00C84B06" w:rsidRDefault="00C84B06">
      <w:pPr>
        <w:spacing w:before="240" w:line="360" w:lineRule="auto"/>
        <w:ind w:left="566" w:hanging="566"/>
        <w:jc w:val="both"/>
      </w:pPr>
    </w:p>
    <w:p w14:paraId="0000001C" w14:textId="77777777" w:rsidR="00C84B06" w:rsidRDefault="002F4997">
      <w:pPr>
        <w:spacing w:before="240" w:line="360" w:lineRule="auto"/>
        <w:ind w:left="567" w:hanging="570"/>
        <w:jc w:val="both"/>
      </w:pPr>
      <w:r>
        <w:rPr>
          <w:color w:val="000000"/>
        </w:rPr>
        <w:t xml:space="preserve">Carpenter B, </w:t>
      </w:r>
      <w:proofErr w:type="spellStart"/>
      <w:r>
        <w:rPr>
          <w:color w:val="000000"/>
        </w:rPr>
        <w:t>Gelman</w:t>
      </w:r>
      <w:proofErr w:type="spellEnd"/>
      <w:r>
        <w:rPr>
          <w:color w:val="000000"/>
        </w:rPr>
        <w:t xml:space="preserve"> A, Hoffman MD, Lee D, Goodrich B, Betancourt M, Brubaker M, </w:t>
      </w:r>
      <w:proofErr w:type="spellStart"/>
      <w:r>
        <w:rPr>
          <w:color w:val="000000"/>
        </w:rPr>
        <w:t>Guo</w:t>
      </w:r>
      <w:proofErr w:type="spellEnd"/>
      <w:r>
        <w:rPr>
          <w:color w:val="000000"/>
        </w:rPr>
        <w:t xml:space="preserve"> J, Li P, Riddell A 2017. </w:t>
      </w:r>
      <w:r>
        <w:rPr>
          <w:i/>
          <w:color w:val="000000"/>
        </w:rPr>
        <w:t>Stan: A probabilistic programming language</w:t>
      </w:r>
      <w:r>
        <w:rPr>
          <w:color w:val="000000"/>
        </w:rPr>
        <w:t xml:space="preserve">. Journal of Statistical Software </w:t>
      </w:r>
      <w:r>
        <w:rPr>
          <w:b/>
          <w:color w:val="000000"/>
        </w:rPr>
        <w:t>76</w:t>
      </w:r>
      <w:r>
        <w:rPr>
          <w:color w:val="000000"/>
        </w:rPr>
        <w:t>. DOI: 10.18637/</w:t>
      </w:r>
      <w:proofErr w:type="gramStart"/>
      <w:r>
        <w:rPr>
          <w:color w:val="000000"/>
        </w:rPr>
        <w:t>jss.v076.i</w:t>
      </w:r>
      <w:proofErr w:type="gramEnd"/>
      <w:r>
        <w:rPr>
          <w:color w:val="000000"/>
        </w:rPr>
        <w:t xml:space="preserve">01 </w:t>
      </w:r>
    </w:p>
    <w:p w14:paraId="0000001F" w14:textId="5293104F" w:rsidR="00C84B06" w:rsidRDefault="002F4997" w:rsidP="002F4997">
      <w:pPr>
        <w:spacing w:before="240" w:line="360" w:lineRule="auto"/>
        <w:ind w:left="567" w:hanging="567"/>
        <w:jc w:val="both"/>
      </w:pPr>
      <w:r>
        <w:rPr>
          <w:color w:val="000000"/>
        </w:rPr>
        <w:t xml:space="preserve">Dean MC, </w:t>
      </w:r>
      <w:proofErr w:type="spellStart"/>
      <w:r>
        <w:rPr>
          <w:color w:val="000000"/>
        </w:rPr>
        <w:t>Scandrett</w:t>
      </w:r>
      <w:proofErr w:type="spellEnd"/>
      <w:r>
        <w:rPr>
          <w:color w:val="000000"/>
        </w:rPr>
        <w:t xml:space="preserve"> AE. 1995. Rates of d</w:t>
      </w:r>
      <w:r>
        <w:rPr>
          <w:color w:val="000000"/>
        </w:rPr>
        <w:t xml:space="preserve">entine mineralization in permanent human teeth. </w:t>
      </w:r>
      <w:r>
        <w:rPr>
          <w:i/>
          <w:color w:val="000000"/>
        </w:rPr>
        <w:t xml:space="preserve">International Journal of </w:t>
      </w:r>
      <w:proofErr w:type="spellStart"/>
      <w:r>
        <w:rPr>
          <w:i/>
          <w:color w:val="000000"/>
        </w:rPr>
        <w:t>Osteoarchaeology</w:t>
      </w:r>
      <w:proofErr w:type="spellEnd"/>
      <w:r>
        <w:rPr>
          <w:i/>
          <w:color w:val="000000"/>
        </w:rPr>
        <w:t xml:space="preserve"> </w:t>
      </w:r>
      <w:r>
        <w:rPr>
          <w:b/>
          <w:color w:val="000000"/>
        </w:rPr>
        <w:t>5</w:t>
      </w:r>
      <w:r>
        <w:rPr>
          <w:color w:val="000000"/>
        </w:rPr>
        <w:t>: 349-358. DOI:</w:t>
      </w:r>
      <w:r>
        <w:t xml:space="preserve"> 10.1002/oa.1390050405</w:t>
      </w:r>
      <w:r>
        <w:rPr>
          <w:color w:val="000000"/>
        </w:rPr>
        <w:t xml:space="preserve"> </w:t>
      </w:r>
      <w:bookmarkStart w:id="1" w:name="_GoBack"/>
      <w:bookmarkEnd w:id="1"/>
    </w:p>
    <w:sectPr w:rsidR="00C84B06">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B06"/>
    <w:rsid w:val="002F4997"/>
    <w:rsid w:val="00A92E87"/>
    <w:rsid w:val="00C84B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9CC2"/>
  <w15:docId w15:val="{DCFD2761-4B2E-4DF4-B174-44ABC980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B2F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styleId="Collegamentoipertestuale">
    <w:name w:val="Hyperlink"/>
    <w:basedOn w:val="Carpredefinitoparagrafo"/>
    <w:uiPriority w:val="99"/>
    <w:unhideWhenUsed/>
    <w:rsid w:val="009B2FBD"/>
    <w:rPr>
      <w:color w:val="0563C1" w:themeColor="hyperlink"/>
      <w:u w:val="singl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nci6FTomnMmZG+wclI3TQqQ53g==">AMUW2mXPpesEW0E3/wwxtstEkiXBMmwWi1i8Xoh8cYkD92av/3YCzwl6DimfTZVe2wGxUru9INqxh7EUFRndTXpKPgQfgV+jpZKJvnHF3f8Lc8Noz1uJohPA0GMuxi4uGcRPVitr2Rpi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Cocozza</dc:creator>
  <cp:lastModifiedBy>Utente</cp:lastModifiedBy>
  <cp:revision>3</cp:revision>
  <dcterms:created xsi:type="dcterms:W3CDTF">2020-05-18T22:13:00Z</dcterms:created>
  <dcterms:modified xsi:type="dcterms:W3CDTF">2020-12-18T21:43:00Z</dcterms:modified>
</cp:coreProperties>
</file>